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DA" w:rsidRDefault="00C375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75DA" w:rsidRDefault="00C375DA">
      <w:pPr>
        <w:pStyle w:val="ConsPlusNormal"/>
        <w:jc w:val="both"/>
        <w:outlineLvl w:val="0"/>
      </w:pPr>
    </w:p>
    <w:p w:rsidR="00C375DA" w:rsidRDefault="00C375DA">
      <w:pPr>
        <w:pStyle w:val="ConsPlusNormal"/>
        <w:outlineLvl w:val="0"/>
      </w:pPr>
      <w:r>
        <w:t>Зарегистрировано в Минюсте России 8 декабря 2023 г. N 76339</w:t>
      </w:r>
    </w:p>
    <w:p w:rsidR="00C375DA" w:rsidRDefault="00C375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Title"/>
        <w:jc w:val="center"/>
      </w:pPr>
      <w:r>
        <w:t>МИНИСТЕРСТВО ПРОСВЕЩЕНИЯ РОССИЙСКОЙ ФЕДЕРАЦИИ</w:t>
      </w:r>
    </w:p>
    <w:p w:rsidR="00C375DA" w:rsidRDefault="00C375DA">
      <w:pPr>
        <w:pStyle w:val="ConsPlusTitle"/>
        <w:jc w:val="center"/>
      </w:pPr>
    </w:p>
    <w:p w:rsidR="00C375DA" w:rsidRDefault="00C375DA">
      <w:pPr>
        <w:pStyle w:val="ConsPlusTitle"/>
        <w:jc w:val="center"/>
      </w:pPr>
      <w:r>
        <w:t>ПРИКАЗ</w:t>
      </w:r>
    </w:p>
    <w:p w:rsidR="00C375DA" w:rsidRDefault="00C375DA">
      <w:pPr>
        <w:pStyle w:val="ConsPlusTitle"/>
        <w:jc w:val="center"/>
      </w:pPr>
      <w:r>
        <w:t>от 9 ноября 2023 г. N 845</w:t>
      </w:r>
    </w:p>
    <w:p w:rsidR="00C375DA" w:rsidRDefault="00C375DA">
      <w:pPr>
        <w:pStyle w:val="ConsPlusTitle"/>
        <w:jc w:val="center"/>
      </w:pPr>
    </w:p>
    <w:p w:rsidR="00C375DA" w:rsidRDefault="00C375DA">
      <w:pPr>
        <w:pStyle w:val="ConsPlusTitle"/>
        <w:jc w:val="center"/>
      </w:pPr>
      <w:r>
        <w:t>ОБ УТВЕРЖДЕНИИ</w:t>
      </w:r>
    </w:p>
    <w:p w:rsidR="00C375DA" w:rsidRDefault="00C375D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375DA" w:rsidRDefault="00C375D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375DA" w:rsidRDefault="00C375DA">
      <w:pPr>
        <w:pStyle w:val="ConsPlusTitle"/>
        <w:jc w:val="center"/>
      </w:pPr>
      <w:r>
        <w:t>08.02.09 МОНТАЖ, НАЛАДКА И ЭКСПЛУАТАЦИЯ ЭЛЕКТРООБОРУДОВАНИЯ</w:t>
      </w:r>
    </w:p>
    <w:p w:rsidR="00C375DA" w:rsidRDefault="00C375DA">
      <w:pPr>
        <w:pStyle w:val="ConsPlusTitle"/>
        <w:jc w:val="center"/>
      </w:pPr>
      <w:r>
        <w:t>ПРОМЫШЛЕННЫХ И ГРАЖДАНСКИХ ЗДАНИЙ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08.02.09 Монтаж, наладка и эксплуатация электрооборудования промышленных и гражданских зданий (далее - стандарт).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08.02.09</w:t>
        </w:r>
      </w:hyperlink>
      <w:r>
        <w:t xml:space="preserve"> Монтаж, наладка и эксплуатация электрооборудования промышленных и гражданских зданий, утвержденным приказом Министерства образования и науки Российской Федерации от 23 января 2018 г. N 44 (зарегистрирован Министерством юстиции Российской Федерации 9 февраля 2018 г., регистрационный N 49991), с изменениями, внесенными приказом Министерства просвещения Российской Федерации от 1 сентября 2022 г. N 796 (зарегистрирован Министерством юстиции Российской Федерации 11 октября 2022 г., регистрационный N 70461), прекращается с 31 декабря 2023 года.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right"/>
      </w:pPr>
      <w:r>
        <w:t>Министр</w:t>
      </w:r>
    </w:p>
    <w:p w:rsidR="00C375DA" w:rsidRDefault="00C375DA">
      <w:pPr>
        <w:pStyle w:val="ConsPlusNormal"/>
        <w:jc w:val="right"/>
      </w:pPr>
      <w:r>
        <w:t>С.С.КРАВЦОВ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right"/>
        <w:outlineLvl w:val="0"/>
      </w:pPr>
      <w:r>
        <w:t>Утвержден</w:t>
      </w:r>
    </w:p>
    <w:p w:rsidR="00C375DA" w:rsidRDefault="00C375DA">
      <w:pPr>
        <w:pStyle w:val="ConsPlusNormal"/>
        <w:jc w:val="right"/>
      </w:pPr>
      <w:r>
        <w:t>приказом Министерства просвещения</w:t>
      </w:r>
    </w:p>
    <w:p w:rsidR="00C375DA" w:rsidRDefault="00C375DA">
      <w:pPr>
        <w:pStyle w:val="ConsPlusNormal"/>
        <w:jc w:val="right"/>
      </w:pPr>
      <w:r>
        <w:lastRenderedPageBreak/>
        <w:t>Российской Федерации</w:t>
      </w:r>
    </w:p>
    <w:p w:rsidR="00C375DA" w:rsidRDefault="00C375DA">
      <w:pPr>
        <w:pStyle w:val="ConsPlusNormal"/>
        <w:jc w:val="right"/>
      </w:pPr>
      <w:r>
        <w:t>от 9 ноября 2023 г. N 845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Title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:rsidR="00C375DA" w:rsidRDefault="00C375D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375DA" w:rsidRDefault="00C375DA">
      <w:pPr>
        <w:pStyle w:val="ConsPlusTitle"/>
        <w:jc w:val="center"/>
      </w:pPr>
      <w:r>
        <w:t>08.02.09 МОНТАЖ, НАЛАДКА И ЭКСПЛУАТАЦИЯ ЭЛЕКТРООБОРУДОВАНИЯ</w:t>
      </w:r>
    </w:p>
    <w:p w:rsidR="00C375DA" w:rsidRDefault="00C375DA">
      <w:pPr>
        <w:pStyle w:val="ConsPlusTitle"/>
        <w:jc w:val="center"/>
      </w:pPr>
      <w:r>
        <w:t>ПРОМЫШЛЕННЫХ И ГРАЖДАНСКИХ ЗДАНИЙ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Title"/>
        <w:jc w:val="center"/>
        <w:outlineLvl w:val="1"/>
      </w:pPr>
      <w:r>
        <w:t>I. ОБЩИЕ ПОЛОЖЕНИЯ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bookmarkStart w:id="1" w:name="P40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08.02.09 Монтаж, наладка и эксплуатация электрооборудования промышленных и гражданских зданий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0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</w:t>
      </w:r>
      <w:r>
        <w:lastRenderedPageBreak/>
        <w:t>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на базе среднего общего образования - 1 год 10 месяцев;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на базе основного общего образования - 2 года 10 месяцев.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lastRenderedPageBreak/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bookmarkStart w:id="3" w:name="P74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5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хозяйство, </w:t>
      </w:r>
      <w:hyperlink r:id="rId1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&lt;6&gt;.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lastRenderedPageBreak/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0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дисциплины (модули);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практику;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right"/>
      </w:pPr>
      <w:r>
        <w:t>Таблица N 1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center"/>
      </w:pPr>
      <w:bookmarkStart w:id="4" w:name="P90"/>
      <w:bookmarkEnd w:id="4"/>
      <w:r>
        <w:t>Структура и объем образовательной программы</w:t>
      </w:r>
    </w:p>
    <w:p w:rsidR="00C375DA" w:rsidRDefault="00C37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0"/>
        <w:gridCol w:w="3795"/>
      </w:tblGrid>
      <w:tr w:rsidR="00C375DA">
        <w:tc>
          <w:tcPr>
            <w:tcW w:w="5250" w:type="dxa"/>
          </w:tcPr>
          <w:p w:rsidR="00C375DA" w:rsidRDefault="00C375DA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795" w:type="dxa"/>
          </w:tcPr>
          <w:p w:rsidR="00C375DA" w:rsidRDefault="00C375DA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C375DA">
        <w:tc>
          <w:tcPr>
            <w:tcW w:w="5250" w:type="dxa"/>
          </w:tcPr>
          <w:p w:rsidR="00C375DA" w:rsidRDefault="00C375D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5" w:type="dxa"/>
          </w:tcPr>
          <w:p w:rsidR="00C375DA" w:rsidRDefault="00C375DA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C375DA">
        <w:tc>
          <w:tcPr>
            <w:tcW w:w="5250" w:type="dxa"/>
          </w:tcPr>
          <w:p w:rsidR="00C375DA" w:rsidRDefault="00C375DA">
            <w:pPr>
              <w:pStyle w:val="ConsPlusNormal"/>
            </w:pPr>
            <w:r>
              <w:t>Практика</w:t>
            </w:r>
          </w:p>
        </w:tc>
        <w:tc>
          <w:tcPr>
            <w:tcW w:w="3795" w:type="dxa"/>
          </w:tcPr>
          <w:p w:rsidR="00C375DA" w:rsidRDefault="00C375DA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C375DA">
        <w:tc>
          <w:tcPr>
            <w:tcW w:w="5250" w:type="dxa"/>
          </w:tcPr>
          <w:p w:rsidR="00C375DA" w:rsidRDefault="00C375D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5" w:type="dxa"/>
          </w:tcPr>
          <w:p w:rsidR="00C375DA" w:rsidRDefault="00C375DA">
            <w:pPr>
              <w:pStyle w:val="ConsPlusNormal"/>
              <w:jc w:val="center"/>
            </w:pPr>
            <w:r>
              <w:t>216</w:t>
            </w:r>
          </w:p>
        </w:tc>
      </w:tr>
      <w:tr w:rsidR="00C375DA">
        <w:tc>
          <w:tcPr>
            <w:tcW w:w="9045" w:type="dxa"/>
            <w:gridSpan w:val="2"/>
          </w:tcPr>
          <w:p w:rsidR="00C375DA" w:rsidRDefault="00C375DA">
            <w:pPr>
              <w:pStyle w:val="ConsPlusNormal"/>
            </w:pPr>
            <w:r>
              <w:t>Общий объем образовательной программы:</w:t>
            </w:r>
          </w:p>
        </w:tc>
      </w:tr>
      <w:tr w:rsidR="00C375DA">
        <w:tc>
          <w:tcPr>
            <w:tcW w:w="5250" w:type="dxa"/>
          </w:tcPr>
          <w:p w:rsidR="00C375DA" w:rsidRDefault="00C375DA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795" w:type="dxa"/>
          </w:tcPr>
          <w:p w:rsidR="00C375DA" w:rsidRDefault="00C375DA">
            <w:pPr>
              <w:pStyle w:val="ConsPlusNormal"/>
              <w:jc w:val="center"/>
            </w:pPr>
            <w:r>
              <w:t>2952</w:t>
            </w:r>
          </w:p>
        </w:tc>
      </w:tr>
      <w:tr w:rsidR="00C375DA">
        <w:tc>
          <w:tcPr>
            <w:tcW w:w="5250" w:type="dxa"/>
          </w:tcPr>
          <w:p w:rsidR="00C375DA" w:rsidRDefault="00C375DA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795" w:type="dxa"/>
          </w:tcPr>
          <w:p w:rsidR="00C375DA" w:rsidRDefault="00C375DA">
            <w:pPr>
              <w:pStyle w:val="ConsPlusNormal"/>
              <w:jc w:val="center"/>
            </w:pPr>
            <w:r>
              <w:t>4428</w:t>
            </w:r>
          </w:p>
        </w:tc>
      </w:tr>
    </w:tbl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5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lastRenderedPageBreak/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C375DA" w:rsidRDefault="00C375DA">
      <w:pPr>
        <w:pStyle w:val="ConsPlusNormal"/>
        <w:spacing w:before="240"/>
        <w:ind w:firstLine="540"/>
        <w:jc w:val="both"/>
      </w:pPr>
      <w:bookmarkStart w:id="5" w:name="P115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выполнение работ по вводу домовых силовых и слаботочных систем в эксплуатацию с применением средств автоматизации;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выполнение работ при эксплуатации муниципальных линий электропередачи;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выполнение работ при монтаже и наладке электрооборудования, осветительных сетей и светильников;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выполнение работ по ремонту и обслуживанию электрооборудования.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5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lastRenderedPageBreak/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графика"; "Электротехника"; "Основы электроники"; "Информационные технологии в профессиональной деятельности"; "Электрические измерения"; "Основы автоматики и элементы систем автоматического управления".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Title"/>
        <w:jc w:val="center"/>
        <w:outlineLvl w:val="1"/>
      </w:pPr>
      <w:bookmarkStart w:id="6" w:name="P135"/>
      <w:bookmarkEnd w:id="6"/>
      <w:r>
        <w:t>III. ТРЕБОВАНИЯ К РЕЗУЛЬТАТАМ ОСВОЕНИЯ</w:t>
      </w:r>
    </w:p>
    <w:p w:rsidR="00C375DA" w:rsidRDefault="00C375DA">
      <w:pPr>
        <w:pStyle w:val="ConsPlusTitle"/>
        <w:jc w:val="center"/>
      </w:pPr>
      <w:r>
        <w:t>ОБРАЗОВАТЕЛЬНОЙ ПРОГРАММЫ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right"/>
      </w:pPr>
      <w:r>
        <w:t>Таблица N 2</w:t>
      </w:r>
    </w:p>
    <w:p w:rsidR="00C375DA" w:rsidRDefault="00C375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6435"/>
      </w:tblGrid>
      <w:tr w:rsidR="00C375DA">
        <w:tc>
          <w:tcPr>
            <w:tcW w:w="2625" w:type="dxa"/>
          </w:tcPr>
          <w:p w:rsidR="00C375DA" w:rsidRDefault="00C375DA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435" w:type="dxa"/>
          </w:tcPr>
          <w:p w:rsidR="00C375DA" w:rsidRDefault="00C375DA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C375DA">
        <w:tc>
          <w:tcPr>
            <w:tcW w:w="2625" w:type="dxa"/>
          </w:tcPr>
          <w:p w:rsidR="00C375DA" w:rsidRDefault="00C375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35" w:type="dxa"/>
          </w:tcPr>
          <w:p w:rsidR="00C375DA" w:rsidRDefault="00C375DA">
            <w:pPr>
              <w:pStyle w:val="ConsPlusNormal"/>
              <w:jc w:val="center"/>
            </w:pPr>
            <w:r>
              <w:t>2</w:t>
            </w:r>
          </w:p>
        </w:tc>
      </w:tr>
      <w:tr w:rsidR="00C375DA">
        <w:tc>
          <w:tcPr>
            <w:tcW w:w="2625" w:type="dxa"/>
          </w:tcPr>
          <w:p w:rsidR="00C375DA" w:rsidRDefault="00C375DA">
            <w:pPr>
              <w:pStyle w:val="ConsPlusNormal"/>
            </w:pPr>
            <w:r>
              <w:t>выполнение работ по вводу домовых силовых и слаботочных систем в эксплуатацию с применением средств автоматизации</w:t>
            </w:r>
          </w:p>
        </w:tc>
        <w:tc>
          <w:tcPr>
            <w:tcW w:w="6435" w:type="dxa"/>
          </w:tcPr>
          <w:p w:rsidR="00C375DA" w:rsidRDefault="00C375DA">
            <w:pPr>
              <w:pStyle w:val="ConsPlusNormal"/>
              <w:jc w:val="both"/>
            </w:pPr>
            <w:r>
              <w:t>ПК 1.1. Выполнять работы по вводу домовых силовых систем в эксплуатацию.</w:t>
            </w:r>
          </w:p>
          <w:p w:rsidR="00C375DA" w:rsidRDefault="00C375DA">
            <w:pPr>
              <w:pStyle w:val="ConsPlusNormal"/>
              <w:jc w:val="both"/>
            </w:pPr>
            <w:r>
              <w:t>ПК 1.2. Выполнять работы по вводу домовых слаботочных систем в эксплуатацию.</w:t>
            </w:r>
          </w:p>
          <w:p w:rsidR="00C375DA" w:rsidRDefault="00C375DA">
            <w:pPr>
              <w:pStyle w:val="ConsPlusNormal"/>
              <w:jc w:val="both"/>
            </w:pPr>
            <w:r>
              <w:t>ПК 1.3. Организовывать поставки электрической энергии потребителям с применением средств автоматизации.</w:t>
            </w:r>
          </w:p>
          <w:p w:rsidR="00C375DA" w:rsidRDefault="00C375DA">
            <w:pPr>
              <w:pStyle w:val="ConsPlusNormal"/>
              <w:jc w:val="both"/>
            </w:pPr>
            <w:r>
              <w:t>ПК 1.4. Обеспечивать соблюдение организационно-технических мероприятий при поставке электрической энергии потребителям.</w:t>
            </w:r>
          </w:p>
          <w:p w:rsidR="00C375DA" w:rsidRDefault="00C375DA">
            <w:pPr>
              <w:pStyle w:val="ConsPlusNormal"/>
              <w:jc w:val="both"/>
            </w:pPr>
            <w:r>
              <w:t>ПК 1.5. Обеспечивать контроль, учет и регулирование бесперебойной поставки электрической энергии потребителям с применением средств автоматизации.</w:t>
            </w:r>
          </w:p>
          <w:p w:rsidR="00C375DA" w:rsidRDefault="00C375DA">
            <w:pPr>
              <w:pStyle w:val="ConsPlusNormal"/>
              <w:jc w:val="both"/>
            </w:pPr>
            <w:r>
              <w:lastRenderedPageBreak/>
              <w:t>ПК 1.6. Формировать и актуализировать базы данных о потребителях электрической энергии с применением средств автоматизации.</w:t>
            </w:r>
          </w:p>
        </w:tc>
      </w:tr>
      <w:tr w:rsidR="00C375DA">
        <w:tc>
          <w:tcPr>
            <w:tcW w:w="2625" w:type="dxa"/>
          </w:tcPr>
          <w:p w:rsidR="00C375DA" w:rsidRDefault="00C375DA">
            <w:pPr>
              <w:pStyle w:val="ConsPlusNormal"/>
            </w:pPr>
            <w:r>
              <w:lastRenderedPageBreak/>
              <w:t>выполнение работ при эксплуатации муниципальных линий электропередачи</w:t>
            </w:r>
          </w:p>
        </w:tc>
        <w:tc>
          <w:tcPr>
            <w:tcW w:w="6435" w:type="dxa"/>
          </w:tcPr>
          <w:p w:rsidR="00C375DA" w:rsidRDefault="00C375DA">
            <w:pPr>
              <w:pStyle w:val="ConsPlusNormal"/>
              <w:jc w:val="both"/>
            </w:pPr>
            <w:r>
              <w:t>ПК 2.1. Проверять техническое состояние муниципальных линий электропередач.</w:t>
            </w:r>
          </w:p>
          <w:p w:rsidR="00C375DA" w:rsidRDefault="00C375DA">
            <w:pPr>
              <w:pStyle w:val="ConsPlusNormal"/>
              <w:jc w:val="both"/>
            </w:pPr>
            <w:r>
              <w:t>ПК 2.2. Выполнять работы по эксплуатации муниципальных линий электропередач.</w:t>
            </w:r>
          </w:p>
          <w:p w:rsidR="00C375DA" w:rsidRDefault="00C375DA">
            <w:pPr>
              <w:pStyle w:val="ConsPlusNormal"/>
              <w:jc w:val="both"/>
            </w:pPr>
            <w:r>
              <w:t>ПК 2.3. Контролировать правила внутреннего трудового распорядка, требований охраны труда, промышленной и пожарной безопасности.</w:t>
            </w:r>
          </w:p>
        </w:tc>
      </w:tr>
      <w:tr w:rsidR="00C375DA">
        <w:tc>
          <w:tcPr>
            <w:tcW w:w="2625" w:type="dxa"/>
          </w:tcPr>
          <w:p w:rsidR="00C375DA" w:rsidRDefault="00C375DA">
            <w:pPr>
              <w:pStyle w:val="ConsPlusNormal"/>
            </w:pPr>
            <w:r>
              <w:t>выполнение работ при монтаже и наладке электрооборудования, осветительных сетей и светильников</w:t>
            </w:r>
          </w:p>
        </w:tc>
        <w:tc>
          <w:tcPr>
            <w:tcW w:w="6435" w:type="dxa"/>
          </w:tcPr>
          <w:p w:rsidR="00C375DA" w:rsidRDefault="00C375DA">
            <w:pPr>
              <w:pStyle w:val="ConsPlusNormal"/>
              <w:jc w:val="both"/>
            </w:pPr>
            <w:r>
              <w:t>ПК 3.1. Выполнять монтаж питающих и распределительных пультов и щитов осветительных сетей и светильников.</w:t>
            </w:r>
          </w:p>
          <w:p w:rsidR="00C375DA" w:rsidRDefault="00C375DA">
            <w:pPr>
              <w:pStyle w:val="ConsPlusNormal"/>
              <w:jc w:val="both"/>
            </w:pPr>
            <w:r>
              <w:t>ПК 3.2. Выполнять работы по прокладке проводов и кабелей осветительных сетей и светильников.</w:t>
            </w:r>
          </w:p>
          <w:p w:rsidR="00C375DA" w:rsidRDefault="00C375DA">
            <w:pPr>
              <w:pStyle w:val="ConsPlusNormal"/>
              <w:jc w:val="both"/>
            </w:pPr>
            <w:r>
              <w:t>ПК 3.3. Выполнять проверку и наладку электрооборудования на объектах электроснабжения в промышленном и гражданском строительстве, в том числе с различными видами релейных защит.</w:t>
            </w:r>
          </w:p>
          <w:p w:rsidR="00C375DA" w:rsidRDefault="00C375DA">
            <w:pPr>
              <w:pStyle w:val="ConsPlusNormal"/>
              <w:jc w:val="both"/>
            </w:pPr>
            <w:r>
              <w:t>ПК 3.4. Выполнять наладку электроприводов.</w:t>
            </w:r>
          </w:p>
        </w:tc>
      </w:tr>
      <w:tr w:rsidR="00C375DA">
        <w:tc>
          <w:tcPr>
            <w:tcW w:w="2625" w:type="dxa"/>
          </w:tcPr>
          <w:p w:rsidR="00C375DA" w:rsidRDefault="00C375DA">
            <w:pPr>
              <w:pStyle w:val="ConsPlusNormal"/>
            </w:pPr>
            <w:r>
              <w:t>выполнение работ по ремонту и обслуживанию электрооборудования</w:t>
            </w:r>
          </w:p>
        </w:tc>
        <w:tc>
          <w:tcPr>
            <w:tcW w:w="6435" w:type="dxa"/>
          </w:tcPr>
          <w:p w:rsidR="00C375DA" w:rsidRDefault="00C375DA">
            <w:pPr>
              <w:pStyle w:val="ConsPlusNormal"/>
              <w:jc w:val="both"/>
            </w:pPr>
            <w:r>
              <w:t>ПК 4.1. Обслуживать оборудование с автоматическим регулированием технологического процесса.</w:t>
            </w:r>
          </w:p>
          <w:p w:rsidR="00C375DA" w:rsidRDefault="00C375DA">
            <w:pPr>
              <w:pStyle w:val="ConsPlusNormal"/>
              <w:jc w:val="both"/>
            </w:pPr>
            <w:r>
              <w:t>ПК 4.2. Выполнять монтаж и наладку электрооборудования автоматизации систем управления вентиляции, кондиционирования, водоснабжения, отопления.</w:t>
            </w:r>
          </w:p>
          <w:p w:rsidR="00C375DA" w:rsidRDefault="00C375DA">
            <w:pPr>
              <w:pStyle w:val="ConsPlusNormal"/>
              <w:jc w:val="both"/>
            </w:pPr>
            <w:r>
              <w:t>ПК 4.3. Выполнять ремонт электрооборудования автоматизации систем управления вентиляции, кондиционирования, водоснабжения, отопления.</w:t>
            </w:r>
          </w:p>
          <w:p w:rsidR="00C375DA" w:rsidRDefault="00C375DA">
            <w:pPr>
              <w:pStyle w:val="ConsPlusNormal"/>
              <w:jc w:val="both"/>
            </w:pPr>
            <w:r>
              <w:t>ПК 4.4. Выполнять ремонт и обслуживание распределительных устройств напряжением до 10 кВт, устранение неисправностей в них.</w:t>
            </w:r>
          </w:p>
          <w:p w:rsidR="00C375DA" w:rsidRDefault="00C375DA">
            <w:pPr>
              <w:pStyle w:val="ConsPlusNormal"/>
              <w:jc w:val="both"/>
            </w:pPr>
            <w:r>
              <w:t>ПК 4.5. Обслуживание технологического оборудования с электронными схемами управления.</w:t>
            </w:r>
          </w:p>
        </w:tc>
      </w:tr>
    </w:tbl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</w:t>
      </w:r>
      <w:r>
        <w:lastRenderedPageBreak/>
        <w:t>образовательной программой.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C375DA" w:rsidRDefault="00C375DA">
      <w:pPr>
        <w:pStyle w:val="ConsPlusTitle"/>
        <w:jc w:val="center"/>
      </w:pPr>
      <w:r>
        <w:t>ОБРАЗОВАТЕЛЬНОЙ ПРОГРАММЫ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&lt;8&gt;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0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2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C375DA" w:rsidRDefault="00C375DA">
      <w:pPr>
        <w:pStyle w:val="ConsPlusNormal"/>
        <w:ind w:firstLine="540"/>
        <w:jc w:val="both"/>
      </w:pPr>
    </w:p>
    <w:p w:rsidR="00C375DA" w:rsidRDefault="00C375DA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</w:t>
      </w:r>
      <w:r>
        <w:lastRenderedPageBreak/>
        <w:t>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C375DA" w:rsidRDefault="00C375DA">
      <w:pPr>
        <w:pStyle w:val="ConsPlusNormal"/>
        <w:ind w:firstLine="540"/>
        <w:jc w:val="both"/>
      </w:pPr>
    </w:p>
    <w:p w:rsidR="00C375DA" w:rsidRDefault="00C375DA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к) обучающиеся инвалиды и лица с ограниченными возможностями здоровья должны </w:t>
      </w:r>
      <w:r>
        <w:lastRenderedPageBreak/>
        <w:t>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C375DA" w:rsidRDefault="00C375DA">
      <w:pPr>
        <w:pStyle w:val="ConsPlusNormal"/>
        <w:ind w:firstLine="540"/>
        <w:jc w:val="both"/>
      </w:pPr>
    </w:p>
    <w:p w:rsidR="00C375DA" w:rsidRDefault="00C375DA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C375DA" w:rsidRDefault="00C375DA">
      <w:pPr>
        <w:pStyle w:val="ConsPlusNormal"/>
        <w:ind w:firstLine="540"/>
        <w:jc w:val="both"/>
      </w:pPr>
    </w:p>
    <w:p w:rsidR="00C375DA" w:rsidRDefault="00C375DA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 xml:space="preserve">&lt;9&gt; Бюджетный </w:t>
      </w:r>
      <w:hyperlink r:id="rId24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Title"/>
        <w:ind w:firstLine="540"/>
        <w:jc w:val="both"/>
        <w:outlineLvl w:val="2"/>
      </w:pPr>
      <w:r>
        <w:t xml:space="preserve">4.7. Требования к применяемым механизмам оценки качества образовательной </w:t>
      </w:r>
      <w:r>
        <w:lastRenderedPageBreak/>
        <w:t>программы: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C375DA" w:rsidRDefault="00C375DA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jc w:val="both"/>
      </w:pPr>
    </w:p>
    <w:p w:rsidR="00C375DA" w:rsidRDefault="00C375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0F8" w:rsidRDefault="00BB70F8">
      <w:bookmarkStart w:id="7" w:name="_GoBack"/>
      <w:bookmarkEnd w:id="7"/>
    </w:p>
    <w:sectPr w:rsidR="00BB70F8" w:rsidSect="00EF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DA"/>
    <w:rsid w:val="00BB70F8"/>
    <w:rsid w:val="00C375DA"/>
    <w:rsid w:val="00E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C4A46-E72F-4B3E-B708-702F6F0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5D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375D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37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011" TargetMode="External"/><Relationship Id="rId13" Type="http://schemas.openxmlformats.org/officeDocument/2006/relationships/hyperlink" Target="https://login.consultant.ru/link/?req=doc&amp;base=LAW&amp;n=505886&amp;dst=100249" TargetMode="External"/><Relationship Id="rId18" Type="http://schemas.openxmlformats.org/officeDocument/2006/relationships/hyperlink" Target="https://login.consultant.ru/link/?req=doc&amp;base=LAW&amp;n=505886&amp;dst=41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597&amp;dst=100037" TargetMode="External"/><Relationship Id="rId7" Type="http://schemas.openxmlformats.org/officeDocument/2006/relationships/hyperlink" Target="https://login.consultant.ru/link/?req=doc&amp;base=LAW&amp;n=429086&amp;dst=100013" TargetMode="External"/><Relationship Id="rId12" Type="http://schemas.openxmlformats.org/officeDocument/2006/relationships/hyperlink" Target="https://login.consultant.ru/link/?req=doc&amp;base=LAW&amp;n=505886&amp;dst=774" TargetMode="External"/><Relationship Id="rId17" Type="http://schemas.openxmlformats.org/officeDocument/2006/relationships/hyperlink" Target="https://login.consultant.ru/link/?req=doc&amp;base=LAW&amp;n=214720&amp;dst=10004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16" TargetMode="External"/><Relationship Id="rId20" Type="http://schemas.openxmlformats.org/officeDocument/2006/relationships/hyperlink" Target="https://login.consultant.ru/link/?req=doc&amp;base=LAW&amp;n=486034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0946&amp;dst=4" TargetMode="External"/><Relationship Id="rId24" Type="http://schemas.openxmlformats.org/officeDocument/2006/relationships/hyperlink" Target="https://login.consultant.ru/link/?req=doc&amp;base=LAW&amp;n=500021" TargetMode="External"/><Relationship Id="rId5" Type="http://schemas.openxmlformats.org/officeDocument/2006/relationships/hyperlink" Target="https://login.consultant.ru/link/?req=doc&amp;base=LAW&amp;n=499281&amp;dst=100051" TargetMode="External"/><Relationship Id="rId15" Type="http://schemas.openxmlformats.org/officeDocument/2006/relationships/hyperlink" Target="https://login.consultant.ru/link/?req=doc&amp;base=LAW&amp;n=214720&amp;dst=100080" TargetMode="External"/><Relationship Id="rId23" Type="http://schemas.openxmlformats.org/officeDocument/2006/relationships/hyperlink" Target="https://login.consultant.ru/link/?req=doc&amp;base=LAW&amp;n=505886" TargetMode="External"/><Relationship Id="rId10" Type="http://schemas.openxmlformats.org/officeDocument/2006/relationships/hyperlink" Target="https://login.consultant.ru/link/?req=doc&amp;base=LAW&amp;n=470946&amp;dst=4" TargetMode="External"/><Relationship Id="rId19" Type="http://schemas.openxmlformats.org/officeDocument/2006/relationships/hyperlink" Target="https://login.consultant.ru/link/?req=doc&amp;base=LAW&amp;n=4846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4657&amp;dst=100562" TargetMode="External"/><Relationship Id="rId14" Type="http://schemas.openxmlformats.org/officeDocument/2006/relationships/hyperlink" Target="https://login.consultant.ru/link/?req=doc&amp;base=LAW&amp;n=411930&amp;dst=100030" TargetMode="External"/><Relationship Id="rId22" Type="http://schemas.openxmlformats.org/officeDocument/2006/relationships/hyperlink" Target="https://login.consultant.ru/link/?req=doc&amp;base=LAW&amp;n=441707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5141</Words>
  <Characters>29305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2025-06-10T06:10:00Z</dcterms:created>
  <dcterms:modified xsi:type="dcterms:W3CDTF">2025-06-10T06:11:00Z</dcterms:modified>
</cp:coreProperties>
</file>