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2C" w:rsidRDefault="00C7092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92C" w:rsidRDefault="00C7092C">
      <w:pPr>
        <w:pStyle w:val="ConsPlusNormal"/>
        <w:jc w:val="both"/>
        <w:outlineLvl w:val="0"/>
      </w:pPr>
    </w:p>
    <w:p w:rsidR="00C7092C" w:rsidRDefault="00C7092C">
      <w:pPr>
        <w:pStyle w:val="ConsPlusNormal"/>
        <w:outlineLvl w:val="0"/>
      </w:pPr>
      <w:r>
        <w:t>Зарегистрировано в Минюсте России 17 сентября 2024 г. N 79490</w:t>
      </w:r>
    </w:p>
    <w:p w:rsidR="00C7092C" w:rsidRDefault="00C709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</w:pPr>
      <w:r>
        <w:t>МИНИСТЕРСТВО ПРОСВЕЩЕНИЯ РОССИЙСКОЙ ФЕДЕРАЦИИ</w:t>
      </w:r>
    </w:p>
    <w:p w:rsidR="00C7092C" w:rsidRDefault="00C7092C">
      <w:pPr>
        <w:pStyle w:val="ConsPlusTitle"/>
        <w:jc w:val="center"/>
      </w:pPr>
    </w:p>
    <w:p w:rsidR="00C7092C" w:rsidRDefault="00C7092C">
      <w:pPr>
        <w:pStyle w:val="ConsPlusTitle"/>
        <w:jc w:val="center"/>
      </w:pPr>
      <w:r>
        <w:t>ПРИКАЗ</w:t>
      </w:r>
    </w:p>
    <w:p w:rsidR="00C7092C" w:rsidRDefault="00C7092C">
      <w:pPr>
        <w:pStyle w:val="ConsPlusTitle"/>
        <w:jc w:val="center"/>
      </w:pPr>
      <w:r>
        <w:t>от 16 августа 2024 г. N 580</w:t>
      </w:r>
    </w:p>
    <w:p w:rsidR="00C7092C" w:rsidRDefault="00C7092C">
      <w:pPr>
        <w:pStyle w:val="ConsPlusTitle"/>
        <w:jc w:val="center"/>
      </w:pPr>
    </w:p>
    <w:p w:rsidR="00C7092C" w:rsidRDefault="00C7092C">
      <w:pPr>
        <w:pStyle w:val="ConsPlusTitle"/>
        <w:jc w:val="center"/>
      </w:pPr>
      <w:r>
        <w:t>ОБ УТВЕРЖДЕНИИ</w:t>
      </w:r>
    </w:p>
    <w:p w:rsidR="00C7092C" w:rsidRDefault="00C7092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7092C" w:rsidRDefault="00C7092C">
      <w:pPr>
        <w:pStyle w:val="ConsPlusTitle"/>
        <w:jc w:val="center"/>
      </w:pPr>
      <w:r>
        <w:t>СРЕДНЕГО ПРОФЕССИОНАЛЬНОГО ОБРАЗОВАНИЯ ПО ПРОФЕССИИ 23.01.17</w:t>
      </w:r>
    </w:p>
    <w:p w:rsidR="00C7092C" w:rsidRDefault="00C7092C">
      <w:pPr>
        <w:pStyle w:val="ConsPlusTitle"/>
        <w:jc w:val="center"/>
      </w:pPr>
      <w:r>
        <w:t>МАСТЕР ПО РЕМОНТУ И ОБСЛУЖИВАНИЮ АВТОМОБИЛЕЙ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23.01.17 Мастер по ремонту и обслуживанию автомобилей (далее - стандарт).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8">
        <w:r>
          <w:rPr>
            <w:color w:val="0000FF"/>
          </w:rPr>
          <w:t>23.01.17</w:t>
        </w:r>
      </w:hyperlink>
      <w:r>
        <w:t xml:space="preserve"> Мастер по ремонту и обслуживанию автомобилей, утвержденным приказом Министерства образования и науки Российской Федерации от 9 декабря 2016 г. N 1581 (зарегистрирован Министерством юстиции Российской Федерации 20 декабря 2016 г., регистрационный N 44800),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от 1 сентября 2022 г. N 796 (зарегистрирован Министерством юстиции Российской Федерации 11 октября 2022 г., регистрационный N 70461) и от 3 июля 2024 г. N 464 (зарегистрирован Министерством юстиции Российской Федерации 9 августа 2024 г., регистрационный N 79088), прекращается с 31 декабря 2024 года.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right"/>
      </w:pPr>
      <w:r>
        <w:t>Исполняющий обязанности Министра</w:t>
      </w:r>
    </w:p>
    <w:p w:rsidR="00C7092C" w:rsidRDefault="00C7092C">
      <w:pPr>
        <w:pStyle w:val="ConsPlusNormal"/>
        <w:jc w:val="right"/>
      </w:pPr>
      <w:r>
        <w:t>А.В.БУГАЕВ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right"/>
        <w:outlineLvl w:val="0"/>
      </w:pPr>
      <w:r>
        <w:t>Утвержден</w:t>
      </w:r>
    </w:p>
    <w:p w:rsidR="00C7092C" w:rsidRDefault="00C7092C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C7092C" w:rsidRDefault="00C7092C">
      <w:pPr>
        <w:pStyle w:val="ConsPlusNormal"/>
        <w:jc w:val="right"/>
      </w:pPr>
      <w:r>
        <w:t>Российской Федерации</w:t>
      </w:r>
    </w:p>
    <w:p w:rsidR="00C7092C" w:rsidRDefault="00C7092C">
      <w:pPr>
        <w:pStyle w:val="ConsPlusNormal"/>
        <w:jc w:val="right"/>
      </w:pPr>
      <w:r>
        <w:t>от 16 августа 2024 г. N 580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C7092C" w:rsidRDefault="00C7092C">
      <w:pPr>
        <w:pStyle w:val="ConsPlusTitle"/>
        <w:jc w:val="center"/>
      </w:pPr>
      <w:r>
        <w:t>СРЕДНЕГО ПРОФЕССИОНАЛЬНОГО ОБРАЗОВАНИЯ ПО ПРОФЕССИИ 23.01.17</w:t>
      </w:r>
    </w:p>
    <w:p w:rsidR="00C7092C" w:rsidRDefault="00C7092C">
      <w:pPr>
        <w:pStyle w:val="ConsPlusTitle"/>
        <w:jc w:val="center"/>
      </w:pPr>
      <w:r>
        <w:t>МАСТЕР ПО РЕМОНТУ И ОБСЛУЖИВАНИЮ АВТОМОБИЛЕЙ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  <w:outlineLvl w:val="1"/>
      </w:pPr>
      <w:r>
        <w:t>I. ОБЩИЕ ПОЛОЖЕНИЯ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r:id="rId9">
        <w:r>
          <w:rPr>
            <w:color w:val="0000FF"/>
          </w:rPr>
          <w:t>23.01.17</w:t>
        </w:r>
      </w:hyperlink>
      <w:r>
        <w:t xml:space="preserve"> Мастер по ремонту и обслуживанию автомобилей (далее соответственно - ФГОС СПО, образовательная программа, профессия) в соответствии с квалификацией квалифицированного рабочего, служащего "мастер по ремонту и обслуживанию автомобилей" &lt;1&gt;.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</w:t>
      </w:r>
      <w:r>
        <w:lastRenderedPageBreak/>
        <w:t>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7092C" w:rsidRDefault="00C7092C">
      <w:pPr>
        <w:pStyle w:val="ConsPlusNormal"/>
        <w:spacing w:before="240"/>
        <w:ind w:firstLine="540"/>
        <w:jc w:val="both"/>
      </w:pPr>
      <w:bookmarkStart w:id="3" w:name="P68"/>
      <w:bookmarkEnd w:id="3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5">
        <w:r>
          <w:rPr>
            <w:color w:val="0000FF"/>
          </w:rPr>
          <w:t>17</w:t>
        </w:r>
      </w:hyperlink>
      <w:r>
        <w:t xml:space="preserve"> Транспорт, </w:t>
      </w:r>
      <w:hyperlink r:id="rId16">
        <w:r>
          <w:rPr>
            <w:color w:val="0000FF"/>
          </w:rPr>
          <w:t>31</w:t>
        </w:r>
      </w:hyperlink>
      <w:r>
        <w:t xml:space="preserve"> Автомобилестроение, </w:t>
      </w:r>
      <w:hyperlink r:id="rId17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&lt;5&gt;.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профессии в целом с учетом соответствующей ПОП.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>практику;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right"/>
      </w:pPr>
      <w:r>
        <w:t>Таблица N 1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center"/>
      </w:pPr>
      <w:bookmarkStart w:id="4" w:name="P84"/>
      <w:bookmarkEnd w:id="4"/>
      <w:r>
        <w:t>Структура и объем образовательной программы</w:t>
      </w:r>
    </w:p>
    <w:p w:rsidR="00C7092C" w:rsidRDefault="00C70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C7092C">
        <w:tc>
          <w:tcPr>
            <w:tcW w:w="5669" w:type="dxa"/>
          </w:tcPr>
          <w:p w:rsidR="00C7092C" w:rsidRDefault="00C7092C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7092C">
        <w:tc>
          <w:tcPr>
            <w:tcW w:w="5669" w:type="dxa"/>
          </w:tcPr>
          <w:p w:rsidR="00C7092C" w:rsidRDefault="00C7092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C7092C">
        <w:tc>
          <w:tcPr>
            <w:tcW w:w="5669" w:type="dxa"/>
          </w:tcPr>
          <w:p w:rsidR="00C7092C" w:rsidRDefault="00C7092C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C7092C">
        <w:tc>
          <w:tcPr>
            <w:tcW w:w="5669" w:type="dxa"/>
          </w:tcPr>
          <w:p w:rsidR="00C7092C" w:rsidRDefault="00C7092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36</w:t>
            </w:r>
          </w:p>
        </w:tc>
      </w:tr>
      <w:tr w:rsidR="00C7092C">
        <w:tblPrEx>
          <w:tblBorders>
            <w:right w:val="nil"/>
          </w:tblBorders>
        </w:tblPrEx>
        <w:tc>
          <w:tcPr>
            <w:tcW w:w="5669" w:type="dxa"/>
          </w:tcPr>
          <w:p w:rsidR="00C7092C" w:rsidRDefault="00C7092C">
            <w:pPr>
              <w:pStyle w:val="ConsPlusNormal"/>
            </w:pPr>
          </w:p>
        </w:tc>
        <w:tc>
          <w:tcPr>
            <w:tcW w:w="3401" w:type="dxa"/>
            <w:tcBorders>
              <w:right w:val="nil"/>
            </w:tcBorders>
          </w:tcPr>
          <w:p w:rsidR="00C7092C" w:rsidRDefault="00C7092C">
            <w:pPr>
              <w:pStyle w:val="ConsPlusNormal"/>
            </w:pPr>
          </w:p>
        </w:tc>
      </w:tr>
      <w:tr w:rsidR="00C7092C">
        <w:tc>
          <w:tcPr>
            <w:tcW w:w="5669" w:type="dxa"/>
          </w:tcPr>
          <w:p w:rsidR="00C7092C" w:rsidRDefault="00C7092C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1476</w:t>
            </w:r>
          </w:p>
        </w:tc>
      </w:tr>
      <w:tr w:rsidR="00C7092C">
        <w:tc>
          <w:tcPr>
            <w:tcW w:w="5669" w:type="dxa"/>
          </w:tcPr>
          <w:p w:rsidR="00C7092C" w:rsidRDefault="00C7092C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19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401" w:type="dxa"/>
          </w:tcPr>
          <w:p w:rsidR="00C7092C" w:rsidRDefault="00C7092C">
            <w:pPr>
              <w:pStyle w:val="ConsPlusNormal"/>
              <w:jc w:val="center"/>
            </w:pPr>
            <w:r>
              <w:t>2952</w:t>
            </w:r>
          </w:p>
        </w:tc>
      </w:tr>
    </w:tbl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8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профессиональных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7092C" w:rsidRDefault="00C7092C">
      <w:pPr>
        <w:pStyle w:val="ConsPlusNormal"/>
        <w:spacing w:before="240"/>
        <w:ind w:firstLine="540"/>
        <w:jc w:val="both"/>
      </w:pPr>
      <w:bookmarkStart w:id="5" w:name="P110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выполнение регламентных работ по поддержанию автотранспортных средств в исправном состоянии;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ремонт механических систем и установка дополнительного оборудования на автотранспортные средства.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2.8. Обязательная часть общепрофессионального цикла образовательной программы </w:t>
      </w:r>
      <w:r>
        <w:lastRenderedPageBreak/>
        <w:t>должна предусматривать изучение следующих дисциплин: "Материаловедение", "Электротехника", "Охрана труда".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  <w:outlineLvl w:val="1"/>
      </w:pPr>
      <w:bookmarkStart w:id="6" w:name="P128"/>
      <w:bookmarkEnd w:id="6"/>
      <w:r>
        <w:t>III. ТРЕБОВАНИЯ К РЕЗУЛЬТАТАМ ОСВОЕНИЯ</w:t>
      </w:r>
    </w:p>
    <w:p w:rsidR="00C7092C" w:rsidRDefault="00C7092C">
      <w:pPr>
        <w:pStyle w:val="ConsPlusTitle"/>
        <w:jc w:val="center"/>
      </w:pPr>
      <w:r>
        <w:t>ОБРАЗОВАТЕЛЬНОЙ ПРОГРАММЫ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</w:t>
      </w:r>
      <w:r w:rsidRPr="00392A4E">
        <w:rPr>
          <w:highlight w:val="yellow"/>
        </w:rPr>
        <w:t>, использовать знания по правовой и финансовой грамотности в различных жизненных ситуациях;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 xml:space="preserve">ОК 06. Проявлять гражданско-патриотическую позицию, демонстрировать осознанное поведение на основе </w:t>
      </w:r>
      <w:r w:rsidRPr="00392A4E">
        <w:rPr>
          <w:highlight w:val="yellow"/>
        </w:rPr>
        <w:t>традиционных российских духовно-нравственных ценностей</w:t>
      </w:r>
      <w:bookmarkStart w:id="7" w:name="_GoBack"/>
      <w:bookmarkEnd w:id="7"/>
      <w:r>
        <w:t>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right"/>
      </w:pPr>
      <w:r>
        <w:t>Таблица N 2</w:t>
      </w:r>
    </w:p>
    <w:p w:rsidR="00C7092C" w:rsidRDefault="00C70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C7092C">
        <w:tc>
          <w:tcPr>
            <w:tcW w:w="2608" w:type="dxa"/>
          </w:tcPr>
          <w:p w:rsidR="00C7092C" w:rsidRDefault="00C7092C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63" w:type="dxa"/>
          </w:tcPr>
          <w:p w:rsidR="00C7092C" w:rsidRDefault="00C7092C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7092C">
        <w:tc>
          <w:tcPr>
            <w:tcW w:w="2608" w:type="dxa"/>
          </w:tcPr>
          <w:p w:rsidR="00C7092C" w:rsidRDefault="00C7092C">
            <w:pPr>
              <w:pStyle w:val="ConsPlusNormal"/>
            </w:pPr>
            <w:r>
              <w:t>выполнение регламентных работ по поддержанию автотранспортных средств в исправном состоянии</w:t>
            </w:r>
          </w:p>
        </w:tc>
        <w:tc>
          <w:tcPr>
            <w:tcW w:w="6463" w:type="dxa"/>
          </w:tcPr>
          <w:p w:rsidR="00C7092C" w:rsidRDefault="00C7092C">
            <w:pPr>
              <w:pStyle w:val="ConsPlusNormal"/>
              <w:jc w:val="both"/>
            </w:pPr>
            <w:r>
              <w:t>ПК 1.1. Проводить предпродажную подготовку автотранспортных средств в процессе оказания услуг по продаже автотранспортных средств потребителям.</w:t>
            </w:r>
          </w:p>
          <w:p w:rsidR="00C7092C" w:rsidRDefault="00C7092C">
            <w:pPr>
              <w:pStyle w:val="ConsPlusNormal"/>
              <w:jc w:val="both"/>
            </w:pPr>
            <w:r>
              <w:t>ПК 1.2. Осуществлять техническое обслуживание автотранспортных средств.</w:t>
            </w:r>
          </w:p>
        </w:tc>
      </w:tr>
      <w:tr w:rsidR="00C7092C">
        <w:tc>
          <w:tcPr>
            <w:tcW w:w="2608" w:type="dxa"/>
          </w:tcPr>
          <w:p w:rsidR="00C7092C" w:rsidRDefault="00C7092C">
            <w:pPr>
              <w:pStyle w:val="ConsPlusNormal"/>
            </w:pPr>
            <w:r>
              <w:t>ремонт механических систем и установка дополнительного оборудования на автотранспортные средства</w:t>
            </w:r>
          </w:p>
        </w:tc>
        <w:tc>
          <w:tcPr>
            <w:tcW w:w="6463" w:type="dxa"/>
          </w:tcPr>
          <w:p w:rsidR="00C7092C" w:rsidRDefault="00C7092C">
            <w:pPr>
              <w:pStyle w:val="ConsPlusNormal"/>
              <w:jc w:val="both"/>
            </w:pPr>
            <w:r>
              <w:t>ПК 2.1. Выполнять монтажные, демонтажные, регулировочные и диагностические работы механических компонентов автотранспортных средств.</w:t>
            </w:r>
          </w:p>
          <w:p w:rsidR="00C7092C" w:rsidRDefault="00C7092C">
            <w:pPr>
              <w:pStyle w:val="ConsPlusNormal"/>
              <w:jc w:val="both"/>
            </w:pPr>
            <w:r>
              <w:t>ПК 2.2. Выполнять ремонт узлов, агрегатов и механических систем автотранспортных средств.</w:t>
            </w:r>
          </w:p>
          <w:p w:rsidR="00C7092C" w:rsidRDefault="00C7092C">
            <w:pPr>
              <w:pStyle w:val="ConsPlusNormal"/>
              <w:jc w:val="both"/>
            </w:pPr>
            <w:r>
              <w:t>ПК 2.3. Выполнять установку дополнительного оборудования на автотранспортные средства.</w:t>
            </w:r>
          </w:p>
        </w:tc>
      </w:tr>
    </w:tbl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7092C" w:rsidRDefault="00C7092C">
      <w:pPr>
        <w:pStyle w:val="ConsPlusTitle"/>
        <w:jc w:val="center"/>
      </w:pPr>
      <w:r>
        <w:t>ОБРАЗОВАТЕЛЬНОЙ ПРОГРАММЫ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&lt;7&gt;.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и) обучающимся должен быть обеспечен доступ, в том числе в случае применения </w:t>
      </w:r>
      <w:r>
        <w:lastRenderedPageBreak/>
        <w:t>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7092C" w:rsidRDefault="00C7092C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jc w:val="both"/>
      </w:pPr>
    </w:p>
    <w:p w:rsidR="00C7092C" w:rsidRDefault="00C709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F8" w:rsidRDefault="00BB70F8"/>
    <w:sectPr w:rsidR="00BB70F8" w:rsidSect="001D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2C"/>
    <w:rsid w:val="00392A4E"/>
    <w:rsid w:val="00BB70F8"/>
    <w:rsid w:val="00C7092C"/>
    <w:rsid w:val="00E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6A9C-F166-4033-AC11-C71E9DBF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92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7092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70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82" TargetMode="External"/><Relationship Id="rId13" Type="http://schemas.openxmlformats.org/officeDocument/2006/relationships/hyperlink" Target="https://login.consultant.ru/link/?req=doc&amp;base=LAW&amp;n=494980&amp;dst=77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hyperlink" Target="https://login.consultant.ru/link/?req=doc&amp;base=LAW&amp;n=4667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620" TargetMode="External"/><Relationship Id="rId7" Type="http://schemas.openxmlformats.org/officeDocument/2006/relationships/hyperlink" Target="https://login.consultant.ru/link/?req=doc&amp;base=LAW&amp;n=483826&amp;dst=100010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114" TargetMode="External"/><Relationship Id="rId25" Type="http://schemas.openxmlformats.org/officeDocument/2006/relationships/hyperlink" Target="https://login.consultant.ru/link/?req=doc&amp;base=LAW&amp;n=494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0" TargetMode="External"/><Relationship Id="rId20" Type="http://schemas.openxmlformats.org/officeDocument/2006/relationships/hyperlink" Target="https://login.consultant.ru/link/?req=doc&amp;base=LAW&amp;n=494980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0946&amp;dst=4" TargetMode="External"/><Relationship Id="rId24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hyperlink" Target="https://login.consultant.ru/link/?req=doc&amp;base=LAW&amp;n=488562&amp;dst=100052" TargetMode="External"/><Relationship Id="rId15" Type="http://schemas.openxmlformats.org/officeDocument/2006/relationships/hyperlink" Target="https://login.consultant.ru/link/?req=doc&amp;base=LAW&amp;n=214720&amp;dst=100082" TargetMode="External"/><Relationship Id="rId23" Type="http://schemas.openxmlformats.org/officeDocument/2006/relationships/hyperlink" Target="https://login.consultant.ru/link/?req=doc&amp;base=LAW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177&amp;dst=100022" TargetMode="External"/><Relationship Id="rId19" Type="http://schemas.openxmlformats.org/officeDocument/2006/relationships/hyperlink" Target="https://login.consultant.ru/link/?req=doc&amp;base=LAW&amp;n=470946&amp;dst=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177&amp;dst=101801" TargetMode="External"/><Relationship Id="rId14" Type="http://schemas.openxmlformats.org/officeDocument/2006/relationships/hyperlink" Target="https://login.consultant.ru/link/?req=doc&amp;base=LAW&amp;n=494980&amp;dst=100249" TargetMode="External"/><Relationship Id="rId22" Type="http://schemas.openxmlformats.org/officeDocument/2006/relationships/hyperlink" Target="https://login.consultant.ru/link/?req=doc&amp;base=LAW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тигра</cp:lastModifiedBy>
  <cp:revision>2</cp:revision>
  <dcterms:created xsi:type="dcterms:W3CDTF">2025-02-07T05:46:00Z</dcterms:created>
  <dcterms:modified xsi:type="dcterms:W3CDTF">2025-02-10T13:49:00Z</dcterms:modified>
</cp:coreProperties>
</file>